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2009/68 vom 4. November 2009</w:t>
      </w:r>
    </w:p>
    <w:p>
      <w:r>
        <w:t>Sg Versicherungsgericht, 2009-11-04, DE</w:t>
      </w:r>
    </w:p>
    <w:p>
      <w:r>
        <w:rPr>
          <w:b/>
        </w:rPr>
        <w:t xml:space="preserve">Quelle: </w:t>
      </w:r>
      <w:r>
        <w:t>https://mcp.opencaselaw.ch/entscheid/sg_publikationen_IV 2009_68</w:t>
      </w:r>
    </w:p>
    <w:p>
      <w:r>
        <w:t>FR: SG_VERSICHERUNGSGERICHT IV 2009/68 du 4 novembre 2009</w:t>
      </w:r>
    </w:p>
    <w:p>
      <w:r>
        <w:t>IT: SG_VERSICHERUNGSGERICHT IV 2009/68 del 4 novembre 2009</w:t>
      </w:r>
    </w:p>
    <w:p>
      <w:pPr>
        <w:pStyle w:val="Heading2"/>
      </w:pPr>
      <w:r>
        <w:t>Regeste</w:t>
      </w:r>
    </w:p>
    <w:p>
      <w:r>
        <w:t>Art. 28 Abs. 1 IVG. Unterschiedliche gutachterliche Arbeitsfähigkeitsschätzungen für die bisherige Tätigkeit einer versicherten Person als Bankangestellter und für eine adaptierte Tätigkeit mit ähnlichem Arbeitsprofil. Antizipierende Beweiswürdigung (Entscheid des Versicherungsgerichts des Kantons St. Gallen vom 4. November 2009, IV 2009/68).</w:t>
      </w:r>
    </w:p>
    <w:p>
      <w:pPr>
        <w:pStyle w:val="Heading2"/>
      </w:pPr>
      <w:r>
        <w:t>Erwägungen</w:t>
      </w:r>
    </w:p>
    <w:p>
      <w:r>
        <w:rPr>
          <w:b/>
        </w:rPr>
        <w:t>E. 1</w:t>
      </w:r>
    </w:p>
    <w:p>
      <w:r>
        <w:t>1.1  Am 1. Januar 2008 ist die 5. IV-Revision in Kraft getreten. Die Beschwerdegegnerin hat die angefochtene Verfügung am 5. Februar 2009, also unter der Geltung des Rechts dieser Revision, erlassen. Zu beurteilen ist der Sachverhalt, wie er sich bis zum Zeitpunkt des Erlasses dieser Verfügung entwickelt hat. Dieser Sachverhalt reicht in eine Zeit vor Inkrafttreten der 5. IV-Revision zurück. Für die Invaliditätsbemessung hat sich indessen keine Änderung der Rechtslage ergeben. Im Folgenden werden die bis zum 31. Dezember 2007 gültig gewesenen Bestimmungen zitiert. 1.2  Mit der angefochtenen Verfügung hat die Beschwerdegegnerin einen Rentenanspruch des Beschwerdeführers abgelehnt. Eine Ablehnung von beruflichen Massnahmen hat sie ihm durch Mitteilung angezeigt. Im Gegensatz zum Verwaltungsverfahren hat der Beschwerdeführer im gerichtlichen Verfahren lediglich noch Rentenleistungen beantragt. Strittig ist demnach zunächst ein allfälliger Anspruch auf eine Rente. Ergäbe sich,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Die Beschwerdegegnerin geht in der angefochtenen Verfügung davon aus, dass der Beschwerdeführer in seiner ursprünglichen Tätigkeit als Sachbearbeiter (wie in einer adaptierten Tätigkeit) zu 10 % in seiner Arbeitsfähigkeit eingeschränkt sei. Das Invalideneinkommen bestimmt sie ohne weiteres durch Anwendung des Faktors der Arbeitsfähigkeit von 0.9 auf das als Valideneinkommen verwendete statistische Durchschnittseinkommen von Hilfsarbeitern. Die Beschwerdegegnerin beruft sich dabei auf das als nachvollziehbar bezeichnete Gutachten vom 22. August 2008. 3.3  Dr. C.___ hatte im Gutachten allerdings als bidisziplinären Konsens festgehalten, dass der Beschwerdeführer in der bisherigen Tätigkeit als Bankangestellter lediglich noch zu 65 % arbeitsfähig sei. Diesen Arbeitsfähigkeitsgrad von 65 % hatte er für körperlich schwere Arbeiten in kalter und feuchter Umgebung angegeben, die vorwiegend im Sitzen und Stehen, mit häufigen inklinierten und reklinierten sowie rotierten Körperhaltungen und mit regelmässigem Heben oder Tragen von Gegen­ständen über 5 bis 10 kg ausgeübt werden müssten und wo regelmässig kniende Positionen nötig seien. In einer beschriebenen angepassten Tätigkeit hingegen mache die Arbeitsfähigkeit 90 % aus. Wenn die Beschwerdegegnerin von einer Arbeitsfähigkeit in angestammter Tätigkeit von 90 % ausgeht, stützt sie sich vielmehr auf die Stellungnahme des RAD vom 7. Dezember 2008, welcher die Arbeitsfähigkeitsschätzung für die bisherige Tätigkeit als nicht nachvollziehbar bezeichnet und dafürgehalten hatte, die Tätigkeit als Bankangestellter entspreche dem Profil des Beschriebs für eine angepasste Tätigkeit. 3.4  Dr. C.___ erklärte das erwähnte Ergebnis der gemeinsamen Beurteilung ausdrücklich damit, dass dem Beschwerdeführer vorwiegend im Sitzen und Stehen auszuübende Tätigkeiten wie die bisherige, die mit häufigen inklinierten Körperhaltungen einhergingen, nicht mehr vollumfänglich zugemutet werden könnten. Ob sich damit die gut­achterlich attestierte Differenz (im Vergleich zur adaptierten Tätigkeit) von nicht weniger als 25 % Arbeitsfähigkeit begründen lasse, erscheint zwar fraglich, ist doch anzunehmen, dass auch die Tätigkeit als Bankangestellter es erlaubt, gelegentlich zwischen Sitzen und Stehen abzuwechseln und die inklinierte Körperhaltung wenigstens zwischendurch zu lösen, wenn sie auch häufig bleibt. Um so vieles besser angepasste erwerbliche Betätigungsmöglichkeiten sind (auch auf einem ausgeglichenen Arbeitsmarkt) schwerlich vorstellbar. Wenn die Beurteilung des RAD aber auch einiges für sich hat, handelt es sich dabei doch nicht um die blosse Wertung, ob auf die eine oder die andere in den Akten vertretene medizinische Ansicht abzustellen sei, wie es die Funktion eines RAD-Berichts gemäss Art. 49 Abs. 3 IVV ist (Bundesgerichtsentscheid i/S R. vom 14. September 2007, I 143/07), sondern der RAD hat damit eine eigene, von der übrigen medizinischen Aktenlage abweichende Einschätzung abgegeben, ohne dass er sich hierfür auf eine eigene Untersuchung (vgl. Art. 49 Abs. 2 IVV) stützen könnte. Die allein auf einer Würdigung der Akten basierende Beurteilung des RAD vermag in der Beweiswürdigung nicht gegen eine abweichende gutachterliche Einschätzung anzukommen. Bei Zweifeln am Ergebnis des Gutachtens wären somit weitere Abklärungen erforderlich gewesen. 3.5  Von solchen ergänzenden Abklärungen ist allerdings vorliegend abzusehen, weil nach dem Dargelegten in antizipierender Beweiswürdigung davon ausgegangen werden kann, dass sie jedenfalls nicht zum Ergebnis einer 35 % noch überschreitenden Arbeitsunfähigkeit in der bisherigen Tätigkeit führen würden. 3.6  Was der Beschwerdeführer dagegen vorbringt, vermag hieran nichts zu ändern. Seine Angaben sowohl zum somatischen (etwa, die Fähigkeit zum Ausharren im Sitzen sei auf 45 Minuten beschränkt) wie zum psychischen Gesundheitszustand sind bei der Begutachtung aufgenommen und berücksichtigt worden. Die Gutachter haben Anamnese und Befunde erhoben. Auf die bidisziplinäre Beurteilung des Gesundheitszustands in Kenntnis der Aktenlage und nach den erforderlichen Untersuchungen kann (im oben erwähnten Sinn) abgestellt werden, während die abweichende Einschätzung des behandelnden Arztes dagegen im Beweiswert nicht anzukommen vermag. Von einer Verschlechterung zwischen Begutachtungs- und Verfügungszeitpunkt braucht nach dem Dargelegten nicht ausgegangen zu werden.</w:t>
      </w:r>
    </w:p>
    <w:p>
      <w:r>
        <w:rPr>
          <w:b/>
        </w:rPr>
        <w:t>E. 4</w:t>
      </w:r>
    </w:p>
    <w:p>
      <w:r>
        <w:t>Es kann in erwerblicher Hinsicht angenommen werden, dass der Beschwerdeführer (bei der hier massgeblichen ausgeglichenen Arbeitsmarktlage) in der Lage ist, mit einer Arbeitsfähigkeit von (mindestens) 65 % in seiner bisherigen Tätigkeit ein Einkommen zu erzielen, das 65 % des Valideneinkommens entspricht. Mit der attestierten Arbeitsunfähigkeit von 35 % bzw. der entsprechenden Pensenreduktion in der bisherigen Tätigkeit wird der gesundheitlichen Einschränkung Rechnung getragen; ein zusätzlicher Abzug rechtfertigt sich nicht (vgl. Bundesgerichtsentscheid i/S R. vom 7. April 2009, 9C_895/2008). Da das Valideneinkommen des Beschwerdeführers als Bankangestellter mit Lehrabschluss (trotz seiner Arbeitslosigkeit, vgl. Rz 3024 KSIH), wie der IK-Auszug zeigt, bei über Fr. 100'000.--- pro Jahr liegt, erreicht er mit einer Verwertung seiner Restarbeitsfähigkeit auf seinem Beruf ein höheres Invalideneinkommen als es ihm mit einer 90-prozentigen Arbeitsfähigkeit in einer anderweitigen Tätigkeit gelänge, für welche er keine Ausbildung besitzt. Ein rentenbegründender Invaliditätsgrad besteht somit nicht. Im Ergebnis erweist sich die angefochtene Verfügung als rechtmässig.</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Dem Beschwerdeführer wurde am 8. Mai 2009 die unentgeltliche Rechtspflege bewilligt. Als unterliegender Partei sind ihm deshalb zwar die Gerichtskosten in der Höhe von Fr. 600.-- aufzuerlegen. Zufolge unentgeltlicher Rechtspflege ist er jedoch von der Bezahlung zu befreien. Wenn seine wirtschaftlichen Verhältnisse es ihm gestatten, kann er allerdings zur Nachzahlung der Gerichtskosten verpflichtet werden (Art. 288 Abs. 1 ZPO/SG i.V.m. Art. 99 Abs. 2 VRP/SG). Demgemäss hat das Versicherungsgericht im Zirkulationsverfahren gemäss Art. 53 GerG entschieden: 1. Die Beschwerde wird abgewiesen. 2. Der Beschwerdeführer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